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F" w:rsidRDefault="00EF6F8F" w:rsidP="00EF6F8F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bookmarkStart w:id="0" w:name="_GoBack"/>
      <w:bookmarkEnd w:id="0"/>
      <w:r w:rsidRPr="00EF6F8F">
        <w:rPr>
          <w:rFonts w:ascii="Times New Roman" w:hAnsi="Times New Roman" w:cs="Times New Roman"/>
          <w:b/>
          <w:sz w:val="40"/>
          <w:szCs w:val="40"/>
          <w:lang w:val="ro-RO"/>
        </w:rPr>
        <w:t>Program de conversie profesional</w:t>
      </w:r>
      <w:r w:rsidR="002F0906">
        <w:rPr>
          <w:rFonts w:ascii="Times New Roman" w:hAnsi="Times New Roman" w:cs="Times New Roman"/>
          <w:b/>
          <w:sz w:val="40"/>
          <w:szCs w:val="40"/>
          <w:lang w:val="ro-RO"/>
        </w:rPr>
        <w:t>ă</w:t>
      </w:r>
    </w:p>
    <w:p w:rsidR="00EF6F8F" w:rsidRDefault="002F0906" w:rsidP="00EF6F8F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pentru limba engleză</w:t>
      </w:r>
      <w:r w:rsidR="00EF6F8F" w:rsidRPr="00EF6F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</w:p>
    <w:p w:rsidR="00EF6F8F" w:rsidRPr="00EF6F8F" w:rsidRDefault="00EF6F8F" w:rsidP="00EF6F8F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F6F8F">
        <w:rPr>
          <w:rFonts w:ascii="Times New Roman" w:hAnsi="Times New Roman" w:cs="Times New Roman"/>
          <w:b/>
          <w:sz w:val="32"/>
          <w:szCs w:val="32"/>
          <w:lang w:val="ro-RO"/>
        </w:rPr>
        <w:t>la Facultatea de Litere, Universita</w:t>
      </w:r>
      <w:r w:rsidR="002F0906">
        <w:rPr>
          <w:rFonts w:ascii="Times New Roman" w:hAnsi="Times New Roman" w:cs="Times New Roman"/>
          <w:b/>
          <w:sz w:val="32"/>
          <w:szCs w:val="32"/>
          <w:lang w:val="ro-RO"/>
        </w:rPr>
        <w:t>tea „Vasile Alecsandri” din Bacă</w:t>
      </w:r>
      <w:r w:rsidRPr="00EF6F8F">
        <w:rPr>
          <w:rFonts w:ascii="Times New Roman" w:hAnsi="Times New Roman" w:cs="Times New Roman"/>
          <w:b/>
          <w:sz w:val="32"/>
          <w:szCs w:val="32"/>
          <w:lang w:val="ro-RO"/>
        </w:rPr>
        <w:t>u</w:t>
      </w:r>
    </w:p>
    <w:p w:rsidR="00EF6F8F" w:rsidRDefault="00EF6F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5D82" w:rsidRPr="00BB7189" w:rsidRDefault="00ED6BA4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>Pro</w:t>
      </w:r>
      <w:r w:rsidR="002F0906" w:rsidRPr="00BB7189">
        <w:rPr>
          <w:rFonts w:ascii="Times New Roman" w:hAnsi="Times New Roman" w:cs="Times New Roman"/>
          <w:sz w:val="24"/>
          <w:szCs w:val="24"/>
          <w:lang w:val="ro-RO"/>
        </w:rPr>
        <w:t>gramul de conversie profesională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25ED"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pentru limba engleza </w:t>
      </w:r>
      <w:r w:rsidR="002F0906" w:rsidRPr="00BB7189">
        <w:rPr>
          <w:rFonts w:ascii="Times New Roman" w:hAnsi="Times New Roman" w:cs="Times New Roman"/>
          <w:sz w:val="24"/>
          <w:szCs w:val="24"/>
          <w:lang w:val="ro-RO"/>
        </w:rPr>
        <w:t>din cadrul Facultăţ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ii de Litere, Universitatea “Vasile Alecsandri” din </w:t>
      </w:r>
      <w:r w:rsidR="002F0906" w:rsidRPr="00BB7189">
        <w:rPr>
          <w:rFonts w:ascii="Times New Roman" w:hAnsi="Times New Roman" w:cs="Times New Roman"/>
          <w:sz w:val="24"/>
          <w:szCs w:val="24"/>
          <w:lang w:val="ro-RO"/>
        </w:rPr>
        <w:t>Bacău, oferă absolvenţilor competenţ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>ele necesare ocup</w:t>
      </w:r>
      <w:r w:rsidR="002F0906" w:rsidRPr="00BB7189">
        <w:rPr>
          <w:rFonts w:ascii="Times New Roman" w:hAnsi="Times New Roman" w:cs="Times New Roman"/>
          <w:sz w:val="24"/>
          <w:szCs w:val="24"/>
          <w:lang w:val="ro-RO"/>
        </w:rPr>
        <w:t>ării unui nou post didactic, altul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dec</w:t>
      </w:r>
      <w:r w:rsidR="002F0906" w:rsidRPr="00BB7189">
        <w:rPr>
          <w:rFonts w:ascii="Times New Roman" w:hAnsi="Times New Roman" w:cs="Times New Roman"/>
          <w:sz w:val="24"/>
          <w:szCs w:val="24"/>
          <w:lang w:val="ro-RO"/>
        </w:rPr>
        <w:t>ât cel ocupat î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>n baza formarii initiale. La sfarsitul studiilor si dupa sustinerea lucrarii de absolvire, se elibereaza diploma de absolvire insotit</w:t>
      </w:r>
      <w:r w:rsidR="006E046B" w:rsidRPr="00BB718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de suplimentul la diploma. </w:t>
      </w:r>
    </w:p>
    <w:p w:rsidR="000A086E" w:rsidRPr="00BB7189" w:rsidRDefault="000A086E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086E" w:rsidRPr="00BB7189" w:rsidRDefault="000A086E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Diploma de absolvire a acestui program confera titularului dreptul de a ocupa posturi didactice in invatamantului preuniversitar in concoredanta cu specializarea absolvita. </w:t>
      </w:r>
    </w:p>
    <w:p w:rsidR="006E046B" w:rsidRPr="00BB7189" w:rsidRDefault="006E046B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Cursuri disponibile </w:t>
      </w:r>
    </w:p>
    <w:p w:rsidR="006E046B" w:rsidRPr="00BB7189" w:rsidRDefault="006E046B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046B" w:rsidRPr="00BB7189" w:rsidRDefault="006E046B" w:rsidP="00BB71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>Limba si literatura engleza (3 semestre – pentru absolventii Facultatilor de profil filologic)</w:t>
      </w:r>
    </w:p>
    <w:p w:rsidR="006E046B" w:rsidRPr="00BB7189" w:rsidRDefault="006E046B" w:rsidP="00BB71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>Limba si literatura engleza (4 semestre – pentru absolventii Facultatilor de alte profiluri decat cel filologic)</w:t>
      </w:r>
    </w:p>
    <w:p w:rsidR="001225ED" w:rsidRPr="00BB7189" w:rsidRDefault="001225ED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25ED" w:rsidRPr="00BB7189" w:rsidRDefault="001225ED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>Taxa de</w:t>
      </w:r>
      <w:r w:rsidR="00712641"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scolarizare pentru anul 2015-2016</w:t>
      </w: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a fost de 1.000 de lei (platibila in 2 transe semestriale).</w:t>
      </w:r>
    </w:p>
    <w:p w:rsidR="00712641" w:rsidRPr="00BB7189" w:rsidRDefault="00712641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DF4" w:rsidRPr="00BB7189" w:rsidRDefault="00712641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>In documentul atasat gasiti alte detalii privind perioada de inscriere si actele necesare.</w:t>
      </w:r>
      <w:r w:rsidR="000B0DF4"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B0DF4" w:rsidRPr="00BB7189" w:rsidRDefault="000B0DF4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Pentru alte detalii va rugam sa contactati secretariatul Facultatii de Litere: </w:t>
      </w:r>
    </w:p>
    <w:p w:rsidR="00712641" w:rsidRPr="00BB7189" w:rsidRDefault="000B0DF4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tel. 0234/588884; e-mail: </w: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"mailto:litere@ub.ro" </w:instrTex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8A320F" w:rsidRPr="00BB718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litere@ub.ro</w: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t xml:space="preserve"> si consultati linkul: </w: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"http://www.ub.ro/litere/programe-de-studii/studii-de-conversie-profesionala" </w:instrTex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8A320F" w:rsidRPr="00BB718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http://www.ub.ro/litere/programe-de-studii/studii-de-conversie-profesionala</w:t>
      </w:r>
      <w:r w:rsidR="008A320F" w:rsidRPr="00BB7189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8A320F" w:rsidRPr="00BB7189" w:rsidRDefault="008A320F" w:rsidP="00BB71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47B0" w:rsidRDefault="00B447B0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A320F" w:rsidRDefault="008A320F" w:rsidP="001225E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Detalii suplimentare: </w:t>
      </w:r>
    </w:p>
    <w:p w:rsidR="008A320F" w:rsidRDefault="008A320F" w:rsidP="001225E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DISCIPLINE STUDIATE</w:t>
      </w:r>
    </w:p>
    <w:tbl>
      <w:tblPr>
        <w:tblpPr w:leftFromText="181" w:rightFromText="181" w:vertAnchor="text" w:horzAnchor="margin" w:tblpY="656"/>
        <w:tblOverlap w:val="never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8268"/>
      </w:tblGrid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Lingvistică generală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</w:rPr>
            </w:pPr>
            <w:r w:rsidRPr="00C57720">
              <w:rPr>
                <w:sz w:val="16"/>
                <w:szCs w:val="16"/>
                <w:lang w:val="ro-RO"/>
              </w:rPr>
              <w:t>Teoria literaturii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Istoria culturii si civilizatiei engleze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Teoria şi practica limbii engleze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Tehnici de comunicare in limba engleza</w:t>
            </w:r>
          </w:p>
        </w:tc>
      </w:tr>
    </w:tbl>
    <w:p w:rsidR="008A320F" w:rsidRPr="008A320F" w:rsidRDefault="008A320F" w:rsidP="001225E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A320F">
        <w:rPr>
          <w:rFonts w:ascii="Times New Roman" w:hAnsi="Times New Roman" w:cs="Times New Roman"/>
          <w:b/>
          <w:sz w:val="28"/>
          <w:szCs w:val="28"/>
          <w:lang w:val="ro-RO"/>
        </w:rPr>
        <w:t>Anul I, sem. 1</w:t>
      </w:r>
    </w:p>
    <w:p w:rsidR="008A320F" w:rsidRDefault="008A320F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1" w:rightFromText="181" w:vertAnchor="text" w:horzAnchor="margin" w:tblpY="600"/>
        <w:tblOverlap w:val="never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8268"/>
      </w:tblGrid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Limba engleză contemporană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proofErr w:type="spellStart"/>
            <w:r w:rsidRPr="00C57720">
              <w:rPr>
                <w:sz w:val="16"/>
                <w:szCs w:val="16"/>
              </w:rPr>
              <w:t>Literatură</w:t>
            </w:r>
            <w:proofErr w:type="spellEnd"/>
            <w:r w:rsidRPr="00C57720">
              <w:rPr>
                <w:sz w:val="16"/>
                <w:szCs w:val="16"/>
              </w:rPr>
              <w:t xml:space="preserve"> </w:t>
            </w:r>
            <w:proofErr w:type="spellStart"/>
            <w:r w:rsidRPr="00C57720">
              <w:rPr>
                <w:sz w:val="16"/>
                <w:szCs w:val="16"/>
              </w:rPr>
              <w:t>engleză</w:t>
            </w:r>
            <w:proofErr w:type="spellEnd"/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 xml:space="preserve">Lexicologie 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shd w:val="clear" w:color="auto" w:fill="FFFFFF"/>
              <w:rPr>
                <w:sz w:val="16"/>
                <w:szCs w:val="16"/>
              </w:rPr>
            </w:pPr>
            <w:r w:rsidRPr="00C57720">
              <w:rPr>
                <w:sz w:val="16"/>
                <w:szCs w:val="16"/>
                <w:lang w:val="ro-RO"/>
              </w:rPr>
              <w:t>Teoria şi practica limbii engleze</w:t>
            </w:r>
          </w:p>
        </w:tc>
      </w:tr>
      <w:tr w:rsidR="00525504" w:rsidRPr="00C57720" w:rsidTr="00525504">
        <w:trPr>
          <w:trHeight w:val="300"/>
        </w:trPr>
        <w:tc>
          <w:tcPr>
            <w:tcW w:w="125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8268" w:type="dxa"/>
            <w:noWrap/>
            <w:tcMar>
              <w:left w:w="28" w:type="dxa"/>
              <w:right w:w="28" w:type="dxa"/>
            </w:tcMar>
            <w:vAlign w:val="center"/>
          </w:tcPr>
          <w:p w:rsidR="00525504" w:rsidRPr="00C57720" w:rsidRDefault="00525504" w:rsidP="0052550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Tehnici de comunicare in limba engleză</w:t>
            </w:r>
          </w:p>
        </w:tc>
      </w:tr>
    </w:tbl>
    <w:p w:rsidR="008A320F" w:rsidRPr="008A320F" w:rsidRDefault="008A320F" w:rsidP="001225E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A320F">
        <w:rPr>
          <w:rFonts w:ascii="Times New Roman" w:hAnsi="Times New Roman" w:cs="Times New Roman"/>
          <w:b/>
          <w:sz w:val="28"/>
          <w:szCs w:val="28"/>
          <w:lang w:val="ro-RO"/>
        </w:rPr>
        <w:t>Anul I, sem. 2</w:t>
      </w:r>
    </w:p>
    <w:p w:rsidR="00B447B0" w:rsidRPr="00B447B0" w:rsidRDefault="00B447B0" w:rsidP="001225E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7B0">
        <w:rPr>
          <w:rFonts w:ascii="Times New Roman" w:hAnsi="Times New Roman" w:cs="Times New Roman"/>
          <w:b/>
          <w:sz w:val="28"/>
          <w:szCs w:val="28"/>
          <w:lang w:val="ro-RO"/>
        </w:rPr>
        <w:t>Anul II, sem.1</w:t>
      </w:r>
    </w:p>
    <w:p w:rsidR="00B447B0" w:rsidRDefault="00B447B0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25504" w:rsidRDefault="00525504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25504" w:rsidRDefault="00525504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1" w:rightFromText="181" w:vertAnchor="text" w:horzAnchor="margin" w:tblpXSpec="center" w:tblpY="-73"/>
        <w:tblOverlap w:val="never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8268"/>
      </w:tblGrid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Limba engleză contemporană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proofErr w:type="spellStart"/>
            <w:r w:rsidRPr="00C57720">
              <w:rPr>
                <w:sz w:val="16"/>
                <w:szCs w:val="16"/>
              </w:rPr>
              <w:t>Literatură</w:t>
            </w:r>
            <w:proofErr w:type="spellEnd"/>
            <w:r w:rsidRPr="00C57720">
              <w:rPr>
                <w:sz w:val="16"/>
                <w:szCs w:val="16"/>
              </w:rPr>
              <w:t xml:space="preserve"> </w:t>
            </w:r>
            <w:proofErr w:type="spellStart"/>
            <w:r w:rsidRPr="00C57720">
              <w:rPr>
                <w:sz w:val="16"/>
                <w:szCs w:val="16"/>
              </w:rPr>
              <w:t>engleză</w:t>
            </w:r>
            <w:proofErr w:type="spellEnd"/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Introducere în teoria şi practica traducerii engleze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Didactica limbii si literaturii engleze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Tehnici de comunicare în limba engleză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Practica pedagogică</w:t>
            </w:r>
          </w:p>
        </w:tc>
      </w:tr>
    </w:tbl>
    <w:p w:rsidR="00B447B0" w:rsidRPr="00B447B0" w:rsidRDefault="00B447B0" w:rsidP="001225E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7B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Anul II, sem. 2</w:t>
      </w:r>
    </w:p>
    <w:p w:rsidR="008A320F" w:rsidRDefault="008A320F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1" w:rightFromText="181" w:vertAnchor="text" w:horzAnchor="margin" w:tblpXSpec="center" w:tblpY="-73"/>
        <w:tblOverlap w:val="never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8268"/>
      </w:tblGrid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Limba engleză contemporană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525504" w:rsidRDefault="00B447B0" w:rsidP="00525504">
            <w:pPr>
              <w:rPr>
                <w:sz w:val="16"/>
                <w:szCs w:val="16"/>
              </w:rPr>
            </w:pPr>
            <w:proofErr w:type="spellStart"/>
            <w:r w:rsidRPr="00C57720">
              <w:rPr>
                <w:sz w:val="16"/>
                <w:szCs w:val="16"/>
              </w:rPr>
              <w:t>Literatură</w:t>
            </w:r>
            <w:proofErr w:type="spellEnd"/>
            <w:r w:rsidRPr="00C57720">
              <w:rPr>
                <w:sz w:val="16"/>
                <w:szCs w:val="16"/>
              </w:rPr>
              <w:t xml:space="preserve"> </w:t>
            </w:r>
            <w:proofErr w:type="spellStart"/>
            <w:r w:rsidRPr="00C57720">
              <w:rPr>
                <w:sz w:val="16"/>
                <w:szCs w:val="16"/>
              </w:rPr>
              <w:t>engleză</w:t>
            </w:r>
            <w:proofErr w:type="spellEnd"/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 xml:space="preserve">Naratologie 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 xml:space="preserve">Istoria limbii engleze 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Teoria si practica limbii engleze</w:t>
            </w:r>
          </w:p>
        </w:tc>
      </w:tr>
      <w:tr w:rsidR="00B447B0" w:rsidRPr="00C57720" w:rsidTr="00FA19C4">
        <w:trPr>
          <w:trHeight w:val="300"/>
        </w:trPr>
        <w:tc>
          <w:tcPr>
            <w:tcW w:w="454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jc w:val="center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2983" w:type="dxa"/>
            <w:noWrap/>
            <w:tcMar>
              <w:left w:w="28" w:type="dxa"/>
              <w:right w:w="28" w:type="dxa"/>
            </w:tcMar>
            <w:vAlign w:val="center"/>
          </w:tcPr>
          <w:p w:rsidR="00B447B0" w:rsidRPr="00C57720" w:rsidRDefault="00B447B0" w:rsidP="00FA19C4">
            <w:pPr>
              <w:shd w:val="clear" w:color="auto" w:fill="FFFFFF"/>
              <w:rPr>
                <w:sz w:val="16"/>
                <w:szCs w:val="16"/>
                <w:lang w:val="ro-RO"/>
              </w:rPr>
            </w:pPr>
            <w:r w:rsidRPr="00C57720">
              <w:rPr>
                <w:sz w:val="16"/>
                <w:szCs w:val="16"/>
                <w:lang w:val="ro-RO"/>
              </w:rPr>
              <w:t>Tehnici de redactare in limba engleza</w:t>
            </w:r>
          </w:p>
        </w:tc>
      </w:tr>
    </w:tbl>
    <w:p w:rsidR="00B447B0" w:rsidRPr="001225ED" w:rsidRDefault="00B447B0" w:rsidP="001225E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E046B" w:rsidRPr="0085548A" w:rsidRDefault="006E046B" w:rsidP="0085548A">
      <w:pPr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ED6BA4" w:rsidRPr="00ED6BA4" w:rsidRDefault="00ED6B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6BA4" w:rsidRDefault="00ED6BA4">
      <w:pPr>
        <w:rPr>
          <w:lang w:val="ro-RO"/>
        </w:rPr>
      </w:pPr>
    </w:p>
    <w:p w:rsidR="00ED6BA4" w:rsidRPr="00ED6BA4" w:rsidRDefault="00ED6BA4">
      <w:pPr>
        <w:rPr>
          <w:lang w:val="ro-RO"/>
        </w:rPr>
      </w:pPr>
    </w:p>
    <w:sectPr w:rsidR="00ED6BA4" w:rsidRPr="00ED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EC5"/>
    <w:multiLevelType w:val="hybridMultilevel"/>
    <w:tmpl w:val="13E0E0BA"/>
    <w:lvl w:ilvl="0" w:tplc="1AF8EF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D"/>
    <w:rsid w:val="00025D82"/>
    <w:rsid w:val="000A086E"/>
    <w:rsid w:val="000B0DF4"/>
    <w:rsid w:val="001225ED"/>
    <w:rsid w:val="002B4828"/>
    <w:rsid w:val="002F0906"/>
    <w:rsid w:val="00525504"/>
    <w:rsid w:val="005B7E3D"/>
    <w:rsid w:val="006E046B"/>
    <w:rsid w:val="00712641"/>
    <w:rsid w:val="00780D2F"/>
    <w:rsid w:val="0085548A"/>
    <w:rsid w:val="008A320F"/>
    <w:rsid w:val="009E4C97"/>
    <w:rsid w:val="00A349EC"/>
    <w:rsid w:val="00B447B0"/>
    <w:rsid w:val="00BB7189"/>
    <w:rsid w:val="00ED6BA4"/>
    <w:rsid w:val="00E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Adam</cp:lastModifiedBy>
  <cp:revision>2</cp:revision>
  <dcterms:created xsi:type="dcterms:W3CDTF">2016-09-16T06:09:00Z</dcterms:created>
  <dcterms:modified xsi:type="dcterms:W3CDTF">2016-09-16T06:09:00Z</dcterms:modified>
</cp:coreProperties>
</file>