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1F9D" w14:textId="77777777" w:rsidR="005E5450" w:rsidRPr="005E5450" w:rsidRDefault="005E5450" w:rsidP="005E5450">
      <w:pPr>
        <w:spacing w:after="0" w:line="276" w:lineRule="auto"/>
        <w:jc w:val="center"/>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ORDIN nr. 5.195 din 3 septembrie 2021privind modificarea și completarea </w:t>
      </w:r>
      <w:hyperlink r:id="rId4" w:history="1">
        <w:r w:rsidRPr="005E5450">
          <w:rPr>
            <w:rFonts w:ascii="Times New Roman" w:eastAsia="Times New Roman" w:hAnsi="Times New Roman" w:cs="Times New Roman"/>
            <w:b/>
            <w:bCs/>
            <w:color w:val="000000" w:themeColor="text1"/>
            <w:sz w:val="24"/>
            <w:szCs w:val="24"/>
            <w:u w:val="single"/>
            <w:bdr w:val="none" w:sz="0" w:space="0" w:color="auto" w:frame="1"/>
            <w:shd w:val="clear" w:color="auto" w:fill="FFFFFF"/>
            <w:lang w:val="ro-RO"/>
          </w:rPr>
          <w:t>anexei</w:t>
        </w:r>
      </w:hyperlink>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 la </w:t>
      </w:r>
      <w:hyperlink r:id="rId5" w:history="1">
        <w:r w:rsidRPr="005E5450">
          <w:rPr>
            <w:rFonts w:ascii="Times New Roman" w:eastAsia="Times New Roman" w:hAnsi="Times New Roman" w:cs="Times New Roman"/>
            <w:b/>
            <w:bCs/>
            <w:color w:val="000000" w:themeColor="text1"/>
            <w:sz w:val="24"/>
            <w:szCs w:val="24"/>
            <w:u w:val="single"/>
            <w:bdr w:val="none" w:sz="0" w:space="0" w:color="auto" w:frame="1"/>
            <w:shd w:val="clear" w:color="auto" w:fill="FFFFFF"/>
            <w:lang w:val="ro-RO"/>
          </w:rPr>
          <w:t>Ordinul ministrului educației nr. 4.597/2021</w:t>
        </w:r>
      </w:hyperlink>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 pentru aprobarea </w:t>
      </w:r>
      <w:hyperlink r:id="rId6" w:history="1">
        <w:r w:rsidRPr="005E5450">
          <w:rPr>
            <w:rFonts w:ascii="Times New Roman" w:eastAsia="Times New Roman" w:hAnsi="Times New Roman" w:cs="Times New Roman"/>
            <w:b/>
            <w:bCs/>
            <w:color w:val="000000" w:themeColor="text1"/>
            <w:sz w:val="24"/>
            <w:szCs w:val="24"/>
            <w:u w:val="single"/>
            <w:bdr w:val="none" w:sz="0" w:space="0" w:color="auto" w:frame="1"/>
            <w:shd w:val="clear" w:color="auto" w:fill="FFFFFF"/>
            <w:lang w:val="ro-RO"/>
          </w:rPr>
          <w:t>Metodologiei</w:t>
        </w:r>
      </w:hyperlink>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 privind organizarea și desfășurarea concursului pentru ocuparea funcțiilor de director și director adjunct din unitățile de învățământ preuniversitar de stat</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9350"/>
      </w:tblGrid>
      <w:tr w:rsidR="005E5450" w:rsidRPr="005E5450" w14:paraId="77B6F719" w14:textId="77777777" w:rsidTr="009E2ABF">
        <w:tc>
          <w:tcPr>
            <w:tcW w:w="0" w:type="auto"/>
            <w:tcBorders>
              <w:top w:val="nil"/>
              <w:left w:val="nil"/>
              <w:bottom w:val="nil"/>
              <w:right w:val="nil"/>
            </w:tcBorders>
            <w:shd w:val="clear" w:color="auto" w:fill="FFFFFF"/>
            <w:vAlign w:val="bottom"/>
            <w:hideMark/>
          </w:tcPr>
          <w:p w14:paraId="7245B829" w14:textId="293C1534" w:rsidR="005E5450" w:rsidRPr="005E5450" w:rsidRDefault="005E5450" w:rsidP="005E5450">
            <w:pPr>
              <w:spacing w:after="0" w:line="276" w:lineRule="auto"/>
              <w:jc w:val="center"/>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b/>
                <w:bCs/>
                <w:color w:val="000000" w:themeColor="text1"/>
                <w:sz w:val="24"/>
                <w:szCs w:val="24"/>
                <w:bdr w:val="none" w:sz="0" w:space="0" w:color="auto" w:frame="1"/>
                <w:lang w:val="ro-RO"/>
              </w:rPr>
              <w:t>EMITENT MINISTERUL EDUCAȚIEI</w:t>
            </w:r>
          </w:p>
        </w:tc>
      </w:tr>
    </w:tbl>
    <w:p w14:paraId="2E1FC422" w14:textId="001BC3A2"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Publicat în  MONITORUL OFICIAL nr. 848 din 6 septembrie 2021</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t>În temeiul prevederilor </w:t>
      </w:r>
      <w:hyperlink r:id="rId7"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 257</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w:t>
      </w:r>
      <w:hyperlink r:id="rId8"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 258</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și </w:t>
      </w:r>
      <w:hyperlink r:id="rId9"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 259 alin. (3) din Legea educației naționale nr. 1/2011</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cu modificările și completările </w:t>
      </w:r>
      <w:proofErr w:type="spellStart"/>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ulterioare,având</w:t>
      </w:r>
      <w:proofErr w:type="spellEnd"/>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în vedere Referatul de aprobare nr. 295/DGMRU din 25.08.2021în baza </w:t>
      </w:r>
      <w:hyperlink r:id="rId10"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Hotărârii Guvernului nr. 369/2021</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privind organizarea și funcționarea Ministerului Educației, cu modificările </w:t>
      </w:r>
      <w:proofErr w:type="spellStart"/>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ulterioare,ministrul</w:t>
      </w:r>
      <w:proofErr w:type="spellEnd"/>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educației emite prezentul ordin.</w:t>
      </w:r>
    </w:p>
    <w:p w14:paraId="6689948D"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Articolul I </w:t>
      </w:r>
    </w:p>
    <w:p w14:paraId="39562D67" w14:textId="2E9007D7" w:rsidR="005E5450" w:rsidRPr="005E5450" w:rsidRDefault="0086406D"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hyperlink r:id="rId11" w:history="1">
        <w:r w:rsidR="005E5450"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Anexa</w:t>
        </w:r>
      </w:hyperlink>
      <w:r w:rsidR="005E5450"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la </w:t>
      </w:r>
      <w:hyperlink r:id="rId12" w:history="1">
        <w:r w:rsidR="005E5450"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Ordinul ministrului educației nr. 4.597/2021</w:t>
        </w:r>
      </w:hyperlink>
      <w:r w:rsidR="005E5450"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pentru aprobarea </w:t>
      </w:r>
      <w:hyperlink r:id="rId13" w:history="1">
        <w:r w:rsidR="005E5450"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Metodologiei</w:t>
        </w:r>
      </w:hyperlink>
      <w:r w:rsidR="005E5450"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privind organizarea și desfășurarea concursului pentru ocuparea funcțiilor de director și director adjunct din unitățile de învățământ preuniversitar de stat, publicat în Monitorul Oficial al României, Partea I, nr. 771 și 771 bis din 10 august 2021, se modifică și se completează după cum urmează:</w:t>
      </w:r>
    </w:p>
    <w:p w14:paraId="5E186F84"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E0"/>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1.</w:t>
      </w:r>
      <w:r w:rsidRPr="005E5450">
        <w:rPr>
          <w:rFonts w:ascii="Times New Roman" w:eastAsia="Times New Roman" w:hAnsi="Times New Roman" w:cs="Times New Roman"/>
          <w:color w:val="000000" w:themeColor="text1"/>
          <w:sz w:val="24"/>
          <w:szCs w:val="24"/>
          <w:bdr w:val="dotted" w:sz="6" w:space="0" w:color="FEFEFE" w:frame="1"/>
          <w:shd w:val="clear" w:color="auto" w:fill="FFFFFF"/>
          <w:lang w:val="ro-RO"/>
        </w:rPr>
        <w:t> </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La </w:t>
      </w:r>
      <w:hyperlink r:id="rId14"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articolul 8 alineatul (1) litera n), după punctul 3</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se introduce un nou punct, punctul 4, cu următorul cuprins:</w:t>
      </w:r>
      <w:r w:rsidRPr="005E5450">
        <w:rPr>
          <w:rFonts w:ascii="Times New Roman" w:eastAsia="Times New Roman" w:hAnsi="Times New Roman" w:cs="Times New Roman"/>
          <w:b/>
          <w:bCs/>
          <w:color w:val="000000" w:themeColor="text1"/>
          <w:sz w:val="24"/>
          <w:szCs w:val="24"/>
          <w:bdr w:val="none" w:sz="0" w:space="0" w:color="auto" w:frame="1"/>
          <w:shd w:val="clear" w:color="auto" w:fill="FFFFE0"/>
          <w:lang w:val="ro-RO"/>
        </w:rPr>
        <w:t>4.</w:t>
      </w:r>
      <w:r w:rsidRPr="005E5450">
        <w:rPr>
          <w:rFonts w:ascii="Times New Roman" w:eastAsia="Times New Roman" w:hAnsi="Times New Roman" w:cs="Times New Roman"/>
          <w:color w:val="000000" w:themeColor="text1"/>
          <w:sz w:val="24"/>
          <w:szCs w:val="24"/>
          <w:bdr w:val="dotted" w:sz="6" w:space="0" w:color="FEFEFE" w:frame="1"/>
          <w:shd w:val="clear" w:color="auto" w:fill="FFFFE0"/>
          <w:lang w:val="ro-RO"/>
        </w:rPr>
        <w:t> </w:t>
      </w:r>
      <w:r w:rsidRPr="005E5450">
        <w:rPr>
          <w:rFonts w:ascii="Times New Roman" w:eastAsia="Times New Roman" w:hAnsi="Times New Roman" w:cs="Times New Roman"/>
          <w:color w:val="000000" w:themeColor="text1"/>
          <w:sz w:val="24"/>
          <w:szCs w:val="24"/>
          <w:bdr w:val="none" w:sz="0" w:space="0" w:color="auto" w:frame="1"/>
          <w:shd w:val="clear" w:color="auto" w:fill="FFFFE0"/>
          <w:lang w:val="ro-RO"/>
        </w:rPr>
        <w:t>avizele prevăzute la art. 24 alin. (2) și (3).</w:t>
      </w:r>
    </w:p>
    <w:p w14:paraId="361787BE"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2.</w:t>
      </w:r>
      <w:r w:rsidRPr="005E5450">
        <w:rPr>
          <w:rFonts w:ascii="Times New Roman" w:eastAsia="Times New Roman" w:hAnsi="Times New Roman" w:cs="Times New Roman"/>
          <w:color w:val="000000" w:themeColor="text1"/>
          <w:sz w:val="24"/>
          <w:szCs w:val="24"/>
          <w:bdr w:val="dotted" w:sz="6" w:space="0" w:color="FEFEFE" w:frame="1"/>
          <w:shd w:val="clear" w:color="auto" w:fill="FFFFFF"/>
          <w:lang w:val="ro-RO"/>
        </w:rPr>
        <w:t> </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La </w:t>
      </w:r>
      <w:hyperlink r:id="rId15"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articolul 12, alineatul (4)</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se modifică și va avea următorul cuprins:</w:t>
      </w:r>
    </w:p>
    <w:p w14:paraId="0F1E4718" w14:textId="3B6F40D9"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E0"/>
          <w:lang w:val="ro-RO"/>
        </w:rPr>
      </w:pPr>
      <w:r w:rsidRPr="005E5450">
        <w:rPr>
          <w:rFonts w:ascii="Times New Roman" w:eastAsia="Times New Roman" w:hAnsi="Times New Roman" w:cs="Times New Roman"/>
          <w:color w:val="000000" w:themeColor="text1"/>
          <w:sz w:val="24"/>
          <w:szCs w:val="24"/>
          <w:bdr w:val="none" w:sz="0" w:space="0" w:color="auto" w:frame="1"/>
          <w:shd w:val="clear" w:color="auto" w:fill="FFFFE0"/>
          <w:lang w:val="ro-RO"/>
        </w:rPr>
        <w:t>(4) Bibliografia pentru concurs, elaborată de către Ministerul Educației, este prevăzută în anexa nr. 12 la prezenta metodologie.</w:t>
      </w:r>
    </w:p>
    <w:p w14:paraId="1094E704"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3.</w:t>
      </w:r>
      <w:r w:rsidRPr="005E5450">
        <w:rPr>
          <w:rFonts w:ascii="Times New Roman" w:eastAsia="Times New Roman" w:hAnsi="Times New Roman" w:cs="Times New Roman"/>
          <w:color w:val="000000" w:themeColor="text1"/>
          <w:sz w:val="24"/>
          <w:szCs w:val="24"/>
          <w:bdr w:val="dotted" w:sz="6" w:space="0" w:color="FEFEFE" w:frame="1"/>
          <w:shd w:val="clear" w:color="auto" w:fill="FFFFFF"/>
          <w:lang w:val="ro-RO"/>
        </w:rPr>
        <w:t> </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La </w:t>
      </w:r>
      <w:hyperlink r:id="rId16"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articolul 24, alineatele (2)</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și </w:t>
      </w:r>
      <w:hyperlink r:id="rId17"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(3)</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se modifică și vor avea următorul cuprins:</w:t>
      </w:r>
    </w:p>
    <w:p w14:paraId="2CAE8B61"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E0"/>
          <w:lang w:val="ro-RO"/>
        </w:rPr>
      </w:pPr>
      <w:r w:rsidRPr="005E5450">
        <w:rPr>
          <w:rFonts w:ascii="Times New Roman" w:eastAsia="Times New Roman" w:hAnsi="Times New Roman" w:cs="Times New Roman"/>
          <w:color w:val="000000" w:themeColor="text1"/>
          <w:sz w:val="24"/>
          <w:szCs w:val="24"/>
          <w:bdr w:val="none" w:sz="0" w:space="0" w:color="auto" w:frame="1"/>
          <w:shd w:val="clear" w:color="auto" w:fill="FFFFE0"/>
          <w:lang w:val="ro-RO"/>
        </w:rPr>
        <w:t>(2) Numirea în funcțiile de director și de director adjunct, în cazul unităților de învățământ cu predare în limbile minorităților naționale și al celor cu secții de predare în limbile minorităților naționale în care sunt normate una sau mai multe funcții de director adjunct, se face cu avizul scris și motivat al organizației care reprezintă minoritatea respectivă în Parlamentul României sau, dacă minoritatea nu are reprezentare parlamentară, cu consultarea Grupului parlamentar al minorităților naționale, emis în vederea numirii și comunicat conform anexei nr. 8.(3) Numirea în funcțiile de director și de director adjunct, în cazul seminarelor și liceelor teologice, se face după obținerea avizului scris și motivat al cultului respectiv, emis în vederea numirii și comunicat conform anexei nr. 8.</w:t>
      </w:r>
    </w:p>
    <w:p w14:paraId="29B29E35"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4.</w:t>
      </w:r>
      <w:r w:rsidRPr="005E5450">
        <w:rPr>
          <w:rFonts w:ascii="Times New Roman" w:eastAsia="Times New Roman" w:hAnsi="Times New Roman" w:cs="Times New Roman"/>
          <w:color w:val="000000" w:themeColor="text1"/>
          <w:sz w:val="24"/>
          <w:szCs w:val="24"/>
          <w:bdr w:val="dotted" w:sz="6" w:space="0" w:color="FEFEFE" w:frame="1"/>
          <w:shd w:val="clear" w:color="auto" w:fill="FFFFFF"/>
          <w:lang w:val="ro-RO"/>
        </w:rPr>
        <w:t> </w:t>
      </w:r>
      <w:hyperlink r:id="rId18"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Articolul 36</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se modifică și va avea următorul cuprins:</w:t>
      </w:r>
    </w:p>
    <w:p w14:paraId="3D1A930C"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E0"/>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E0"/>
          <w:lang w:val="ro-RO"/>
        </w:rPr>
        <w:t xml:space="preserve">Articolul 36 </w:t>
      </w:r>
      <w:r w:rsidRPr="005E5450">
        <w:rPr>
          <w:rFonts w:ascii="Times New Roman" w:eastAsia="Times New Roman" w:hAnsi="Times New Roman" w:cs="Times New Roman"/>
          <w:color w:val="000000" w:themeColor="text1"/>
          <w:sz w:val="24"/>
          <w:szCs w:val="24"/>
          <w:bdr w:val="none" w:sz="0" w:space="0" w:color="auto" w:frame="1"/>
          <w:shd w:val="clear" w:color="auto" w:fill="FFFFE0"/>
          <w:lang w:val="ro-RO"/>
        </w:rPr>
        <w:t>Anexele nr. 1-12 fac parte integrantă din prezenta metodologie.</w:t>
      </w:r>
    </w:p>
    <w:p w14:paraId="5F86852F"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5.</w:t>
      </w:r>
      <w:r w:rsidRPr="005E5450">
        <w:rPr>
          <w:rFonts w:ascii="Times New Roman" w:eastAsia="Times New Roman" w:hAnsi="Times New Roman" w:cs="Times New Roman"/>
          <w:color w:val="000000" w:themeColor="text1"/>
          <w:sz w:val="24"/>
          <w:szCs w:val="24"/>
          <w:bdr w:val="dotted" w:sz="6" w:space="0" w:color="FEFEFE" w:frame="1"/>
          <w:shd w:val="clear" w:color="auto" w:fill="FFFFFF"/>
          <w:lang w:val="ro-RO"/>
        </w:rPr>
        <w:t> </w:t>
      </w:r>
      <w:hyperlink r:id="rId19" w:anchor="A410"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Anexa nr. 8</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se modifică și se înlocuiește cu </w:t>
      </w:r>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anexa nr. 1</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la prezentul ordin.</w:t>
      </w:r>
    </w:p>
    <w:p w14:paraId="72811320"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6.</w:t>
      </w:r>
      <w:r w:rsidRPr="005E5450">
        <w:rPr>
          <w:rFonts w:ascii="Times New Roman" w:eastAsia="Times New Roman" w:hAnsi="Times New Roman" w:cs="Times New Roman"/>
          <w:color w:val="000000" w:themeColor="text1"/>
          <w:sz w:val="24"/>
          <w:szCs w:val="24"/>
          <w:bdr w:val="dotted" w:sz="6" w:space="0" w:color="FEFEFE" w:frame="1"/>
          <w:shd w:val="clear" w:color="auto" w:fill="FFFFFF"/>
          <w:lang w:val="ro-RO"/>
        </w:rPr>
        <w:t> </w:t>
      </w:r>
      <w:hyperlink r:id="rId20"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După anexa nr. 11</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se introduce o nouă anexă, anexa nr. 12, având cuprinsul prevăzut în </w:t>
      </w:r>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anexa nr. 2</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la prezentul ordin.</w:t>
      </w:r>
    </w:p>
    <w:p w14:paraId="6FC33332"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Articolul II</w:t>
      </w:r>
    </w:p>
    <w:p w14:paraId="047F1D22"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Anexele nr. 1</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și </w:t>
      </w:r>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2</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fac parte integrantă din prezentul ordin.</w:t>
      </w:r>
    </w:p>
    <w:p w14:paraId="15B494F2"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Articolul </w:t>
      </w:r>
      <w:proofErr w:type="spellStart"/>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III</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Direcția</w:t>
      </w:r>
      <w:proofErr w:type="spellEnd"/>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generală management resurse umane și rețea școlară din cadrul Ministerului Educației, inspectoratele școlare și unitățile de învățământ preuniversitar de stat duc la îndeplinire prevederile prezentului ordin.</w:t>
      </w:r>
    </w:p>
    <w:p w14:paraId="076DEA95"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Articolul </w:t>
      </w:r>
      <w:proofErr w:type="spellStart"/>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IV</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Prezentul</w:t>
      </w:r>
      <w:proofErr w:type="spellEnd"/>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ordin se publică în Monitorul Oficial al României, Partea I.</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p. Ministrul educației,</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Gigel Paraschiv,</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 xml:space="preserve"> </w:t>
      </w: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secretar de stat</w:t>
      </w:r>
    </w:p>
    <w:p w14:paraId="3C801F43" w14:textId="77777777" w:rsidR="005E5450" w:rsidRPr="005E5450" w:rsidRDefault="005E5450" w:rsidP="005E5450">
      <w:pPr>
        <w:spacing w:after="0" w:line="276" w:lineRule="auto"/>
        <w:ind w:left="72" w:right="72"/>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București, 3 septembrie 2021.Nr. 5.195.</w:t>
      </w:r>
    </w:p>
    <w:p w14:paraId="12476F69"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00011971" w14:textId="778E92A3" w:rsidR="005E5450" w:rsidRPr="005E5450" w:rsidRDefault="005E5450" w:rsidP="005E5450">
      <w:pPr>
        <w:spacing w:after="0" w:line="276" w:lineRule="auto"/>
        <w:ind w:left="72" w:right="72"/>
        <w:jc w:val="center"/>
        <w:rPr>
          <w:rFonts w:ascii="Times New Roman" w:eastAsia="Times New Roman" w:hAnsi="Times New Roman" w:cs="Times New Roman"/>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lastRenderedPageBreak/>
        <w:t xml:space="preserve">Anexa nr. 1 </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(Anexa nr. 8 la </w:t>
      </w:r>
      <w:hyperlink r:id="rId21"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Ordinul nr. 4.597/2021</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p>
    <w:p w14:paraId="4FCFF248" w14:textId="77777777" w:rsidR="005E5450" w:rsidRPr="005E5450" w:rsidRDefault="005E5450" w:rsidP="005E5450">
      <w:pPr>
        <w:spacing w:after="0" w:line="276"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4132842D" w14:textId="4539A732" w:rsidR="005E5450" w:rsidRPr="005E5450" w:rsidRDefault="005E5450" w:rsidP="005E5450">
      <w:pPr>
        <w:spacing w:after="0" w:line="276"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CALENDARUL</w:t>
      </w: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br/>
        <w:t>concursului pentru ocuparea funcțiilor de director și director adjunct din unitățile de învățământ preuniversitar de stat – Sesiunea 2021</w:t>
      </w:r>
    </w:p>
    <w:p w14:paraId="36C35FF7" w14:textId="77777777" w:rsidR="005E5450" w:rsidRPr="005E5450" w:rsidRDefault="005E5450" w:rsidP="005E5450">
      <w:pPr>
        <w:spacing w:after="0" w:line="276" w:lineRule="auto"/>
        <w:ind w:left="72" w:right="72"/>
        <w:jc w:val="center"/>
        <w:rPr>
          <w:rFonts w:ascii="Times New Roman" w:eastAsia="Times New Roman" w:hAnsi="Times New Roman" w:cs="Times New Roman"/>
          <w:color w:val="000000" w:themeColor="text1"/>
          <w:sz w:val="24"/>
          <w:szCs w:val="24"/>
          <w:bdr w:val="none" w:sz="0" w:space="0" w:color="auto" w:frame="1"/>
          <w:shd w:val="clear" w:color="auto" w:fill="FFFFFF"/>
          <w:lang w:val="ro-RO"/>
        </w:rPr>
      </w:pPr>
    </w:p>
    <w:tbl>
      <w:tblPr>
        <w:tblW w:w="9596" w:type="dxa"/>
        <w:tblInd w:w="72" w:type="dxa"/>
        <w:tblCellMar>
          <w:left w:w="0" w:type="dxa"/>
          <w:right w:w="0" w:type="dxa"/>
        </w:tblCellMar>
        <w:tblLook w:val="04A0" w:firstRow="1" w:lastRow="0" w:firstColumn="1" w:lastColumn="0" w:noHBand="0" w:noVBand="1"/>
      </w:tblPr>
      <w:tblGrid>
        <w:gridCol w:w="1905"/>
        <w:gridCol w:w="7691"/>
      </w:tblGrid>
      <w:tr w:rsidR="005E5450" w:rsidRPr="005E5450" w14:paraId="637D6BAE"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058332" w14:textId="77777777" w:rsidR="005E5450" w:rsidRPr="005E5450" w:rsidRDefault="005E5450" w:rsidP="005E5450">
            <w:pPr>
              <w:spacing w:after="0" w:line="276" w:lineRule="auto"/>
              <w:jc w:val="center"/>
              <w:rPr>
                <w:rFonts w:ascii="Times New Roman" w:eastAsia="Times New Roman" w:hAnsi="Times New Roman" w:cs="Times New Roman"/>
                <w:b/>
                <w:bCs/>
                <w:color w:val="000000" w:themeColor="text1"/>
                <w:sz w:val="24"/>
                <w:szCs w:val="24"/>
                <w:lang w:val="ro-RO"/>
              </w:rPr>
            </w:pPr>
            <w:r w:rsidRPr="005E5450">
              <w:rPr>
                <w:rFonts w:ascii="Times New Roman" w:eastAsia="Times New Roman" w:hAnsi="Times New Roman" w:cs="Times New Roman"/>
                <w:b/>
                <w:bCs/>
                <w:color w:val="000000" w:themeColor="text1"/>
                <w:sz w:val="24"/>
                <w:szCs w:val="24"/>
                <w:bdr w:val="none" w:sz="0" w:space="0" w:color="auto" w:frame="1"/>
                <w:lang w:val="ro-RO"/>
              </w:rPr>
              <w:t>Data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86EEA1" w14:textId="774D2BA5" w:rsidR="005E5450" w:rsidRPr="005E5450" w:rsidRDefault="005E5450" w:rsidP="005E5450">
            <w:pPr>
              <w:spacing w:after="0" w:line="276" w:lineRule="auto"/>
              <w:jc w:val="center"/>
              <w:rPr>
                <w:rFonts w:ascii="Times New Roman" w:eastAsia="Times New Roman" w:hAnsi="Times New Roman" w:cs="Times New Roman"/>
                <w:b/>
                <w:bCs/>
                <w:color w:val="000000" w:themeColor="text1"/>
                <w:sz w:val="24"/>
                <w:szCs w:val="24"/>
                <w:lang w:val="ro-RO"/>
              </w:rPr>
            </w:pPr>
            <w:r w:rsidRPr="005E5450">
              <w:rPr>
                <w:rFonts w:ascii="Times New Roman" w:eastAsia="Times New Roman" w:hAnsi="Times New Roman" w:cs="Times New Roman"/>
                <w:b/>
                <w:bCs/>
                <w:color w:val="000000" w:themeColor="text1"/>
                <w:sz w:val="24"/>
                <w:szCs w:val="24"/>
                <w:bdr w:val="none" w:sz="0" w:space="0" w:color="auto" w:frame="1"/>
                <w:lang w:val="ro-RO"/>
              </w:rPr>
              <w:t>Activitatea</w:t>
            </w:r>
          </w:p>
        </w:tc>
      </w:tr>
      <w:tr w:rsidR="005E5450" w:rsidRPr="005E5450" w14:paraId="0022A0AC"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98E034"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14 septembrie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DE1D9B"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Anunțarea concursului (publicarea funcțiilor vacante pentru care se organizează concursul) Constituirea comisiei naționale, a comisiilor de organizare la nivel județean și a comisiilor de evaluare a documentelor de înscriere</w:t>
            </w:r>
          </w:p>
        </w:tc>
      </w:tr>
      <w:tr w:rsidR="005E5450" w:rsidRPr="005E5450" w14:paraId="4AF4C542"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7AA666"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15-26 septembrie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4E6E93"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Depunerea dosarelor de înscriere la proba scrisă pe platforma informatică dedicată</w:t>
            </w:r>
          </w:p>
        </w:tc>
      </w:tr>
      <w:tr w:rsidR="005E5450" w:rsidRPr="005E5450" w14:paraId="4DACAF26"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40563C"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27-29 septembrie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390CCB"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Evaluarea dosarelor de înscriere</w:t>
            </w:r>
          </w:p>
        </w:tc>
      </w:tr>
      <w:tr w:rsidR="005E5450" w:rsidRPr="005E5450" w14:paraId="44604861"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C811C1"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30 septembrie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5E07DC"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Afișarea listei candidaților admiși la evaluarea dosarelor</w:t>
            </w:r>
          </w:p>
        </w:tc>
      </w:tr>
      <w:tr w:rsidR="005E5450" w:rsidRPr="005E5450" w14:paraId="0C2B2C42"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C599B0"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A5D6B9"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Depunerea solicitărilor de analiză a cauzelor și remedierea eventualelor erori la etapa de înscriere în platforma informatică</w:t>
            </w:r>
          </w:p>
        </w:tc>
      </w:tr>
      <w:tr w:rsidR="005E5450" w:rsidRPr="005E5450" w14:paraId="73DD5D6C"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4DAA87"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4-6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93F2FC"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Remedierea eventualelor erori la etapa de înscriere</w:t>
            </w:r>
          </w:p>
        </w:tc>
      </w:tr>
      <w:tr w:rsidR="005E5450" w:rsidRPr="005E5450" w14:paraId="2EF586BA"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55FB10"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7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8D4DFC"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Afișarea listei candidaților admiși la evaluarea dosarelor</w:t>
            </w:r>
          </w:p>
        </w:tc>
      </w:tr>
      <w:tr w:rsidR="005E5450" w:rsidRPr="005E5450" w14:paraId="04C20929"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3E60AB"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8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0F4475"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Stabilirea centrelor speciale de desfășurare a probei scrise</w:t>
            </w:r>
          </w:p>
        </w:tc>
      </w:tr>
      <w:tr w:rsidR="005E5450" w:rsidRPr="005E5450" w14:paraId="557D47A2"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E61667"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13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F64335"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Repartizarea candidaților pe centre</w:t>
            </w:r>
          </w:p>
        </w:tc>
      </w:tr>
      <w:tr w:rsidR="005E5450" w:rsidRPr="005E5450" w14:paraId="72629BA7"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31E399"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15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F544F1"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Desfășurarea probei scrise</w:t>
            </w:r>
          </w:p>
        </w:tc>
      </w:tr>
      <w:tr w:rsidR="005E5450" w:rsidRPr="005E5450" w14:paraId="66D2E9F8"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FA4828"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15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AF1559"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Afișarea rezultatelor la proba scrisă</w:t>
            </w:r>
          </w:p>
        </w:tc>
      </w:tr>
      <w:tr w:rsidR="005E5450" w:rsidRPr="005E5450" w14:paraId="46A56493"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66CBD9"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15-17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A72E3B"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Depunerea contestațiilor la proba scrisă</w:t>
            </w:r>
          </w:p>
        </w:tc>
      </w:tr>
      <w:tr w:rsidR="005E5450" w:rsidRPr="005E5450" w14:paraId="600DA8AB"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103EC2"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18-20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446CC5"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Soluționarea contestațiilor la proba scrisă</w:t>
            </w:r>
          </w:p>
        </w:tc>
      </w:tr>
      <w:tr w:rsidR="005E5450" w:rsidRPr="005E5450" w14:paraId="1655F886"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0C7F91"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20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86902E"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Afișarea rezultatelor finale la proba scrisă</w:t>
            </w:r>
          </w:p>
        </w:tc>
      </w:tr>
      <w:tr w:rsidR="005E5450" w:rsidRPr="005E5450" w14:paraId="51CC90D1"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2BEEEA"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21-27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7976B9"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Înregistrarea opțiunilor candidaților pentru unitatea la care candidează și, în funcție de opțiune, depunerea documentelor pentru unitățile de învățământ care necesită avize suplimentare, conform art. 8 alin. (1) lit. n) din metodologie</w:t>
            </w:r>
          </w:p>
        </w:tc>
      </w:tr>
      <w:tr w:rsidR="005E5450" w:rsidRPr="005E5450" w14:paraId="5AC5A6CE"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DC7433"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28-29 octombrie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628CF0"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Transmiterea solicitărilor de desemnare a membrilor comisiilor de interviu din partea consiliilor profesorale, autorităților locale și companiilor/universităților</w:t>
            </w:r>
          </w:p>
        </w:tc>
      </w:tr>
      <w:tr w:rsidR="005E5450" w:rsidRPr="005E5450" w14:paraId="6A3E140E"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9D21F2"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1-10 noiembrie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2C3D73"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Constituirea comisiilor pentru proba de interviu</w:t>
            </w:r>
          </w:p>
        </w:tc>
      </w:tr>
      <w:tr w:rsidR="005E5450" w:rsidRPr="005E5450" w14:paraId="3D37F184"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944E86"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12 noiembrie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956B08"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Publicarea graficului de desfășurare a interviurilor</w:t>
            </w:r>
          </w:p>
        </w:tc>
      </w:tr>
      <w:tr w:rsidR="005E5450" w:rsidRPr="005E5450" w14:paraId="78D32DF1"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39261A"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15 noiembrie-8 decembrie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77826B"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Desfășurarea probei de interviu</w:t>
            </w:r>
          </w:p>
        </w:tc>
      </w:tr>
      <w:tr w:rsidR="005E5450" w:rsidRPr="005E5450" w14:paraId="3796538E"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96661E"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16 noiembrie-10 decembrie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D87893"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Depunerea și soluționarea contestațiilor la proba de interviu</w:t>
            </w:r>
          </w:p>
        </w:tc>
      </w:tr>
      <w:tr w:rsidR="005E5450" w:rsidRPr="005E5450" w14:paraId="55FE73D2"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103240"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13 decembrie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64758E"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Exprimarea opțiunilor candidaților declarați admiși pentru mai multe funcții/unități de învățământ</w:t>
            </w:r>
          </w:p>
        </w:tc>
      </w:tr>
      <w:tr w:rsidR="005E5450" w:rsidRPr="005E5450" w14:paraId="6B77B19B"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AE11B6"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17 decembrie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EA4577"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Validarea rezultatelor finale</w:t>
            </w:r>
          </w:p>
        </w:tc>
      </w:tr>
      <w:tr w:rsidR="005E5450" w:rsidRPr="005E5450" w14:paraId="27E274B1" w14:textId="77777777" w:rsidTr="005E5450">
        <w:tc>
          <w:tcPr>
            <w:tcW w:w="19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E57D2B"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20-22 decembrie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FFD030" w14:textId="77777777" w:rsidR="005E5450" w:rsidRPr="005E5450" w:rsidRDefault="005E5450" w:rsidP="005E5450">
            <w:pPr>
              <w:spacing w:after="0" w:line="276" w:lineRule="auto"/>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Emiterea deciziilor de numire (cu aplicare de la 10 ianuarie 2022)</w:t>
            </w:r>
          </w:p>
        </w:tc>
      </w:tr>
    </w:tbl>
    <w:p w14:paraId="57848B1C"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3EA2A4AB"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496A193D"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571611E6"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5ED61076"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6E601D44"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24FAD246"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48C8DB8A" w14:textId="7777777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14:paraId="32322136" w14:textId="3A2A9D07" w:rsidR="005E5450" w:rsidRPr="005E5450" w:rsidRDefault="005E5450" w:rsidP="005E5450">
      <w:pPr>
        <w:spacing w:after="0" w:line="276" w:lineRule="auto"/>
        <w:ind w:left="72" w:right="72"/>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Anexa nr. 2</w:t>
      </w:r>
      <w:r w:rsidR="0086406D">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 </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(Anexa nr. 12 la </w:t>
      </w:r>
      <w:hyperlink r:id="rId22" w:history="1">
        <w:r w:rsidRPr="005E5450">
          <w:rPr>
            <w:rFonts w:ascii="Times New Roman" w:eastAsia="Times New Roman" w:hAnsi="Times New Roman" w:cs="Times New Roman"/>
            <w:color w:val="000000" w:themeColor="text1"/>
            <w:sz w:val="24"/>
            <w:szCs w:val="24"/>
            <w:u w:val="single"/>
            <w:bdr w:val="none" w:sz="0" w:space="0" w:color="auto" w:frame="1"/>
            <w:shd w:val="clear" w:color="auto" w:fill="FFFFFF"/>
            <w:lang w:val="ro-RO"/>
          </w:rPr>
          <w:t>Ordinul nr. 4.597/2021</w:t>
        </w:r>
      </w:hyperlink>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t>)</w:t>
      </w:r>
      <w:r w:rsidRPr="005E5450">
        <w:rPr>
          <w:rFonts w:ascii="Times New Roman" w:eastAsia="Times New Roman" w:hAnsi="Times New Roman" w:cs="Times New Roman"/>
          <w:color w:val="000000" w:themeColor="text1"/>
          <w:sz w:val="24"/>
          <w:szCs w:val="24"/>
          <w:bdr w:val="none" w:sz="0" w:space="0" w:color="auto" w:frame="1"/>
          <w:shd w:val="clear" w:color="auto" w:fill="FFFFFF"/>
          <w:lang w:val="ro-RO"/>
        </w:rPr>
        <w:br/>
      </w:r>
    </w:p>
    <w:p w14:paraId="35A36712" w14:textId="4830DDBF" w:rsidR="005E5450" w:rsidRPr="005E5450" w:rsidRDefault="005E5450" w:rsidP="005E5450">
      <w:pPr>
        <w:spacing w:after="0" w:line="276" w:lineRule="auto"/>
        <w:ind w:left="72" w:right="72"/>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t>BIBLIOGRAFIE</w:t>
      </w: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br/>
        <w:t>pentru concursul pentru ocuparea funcțiilor de director și director adjunct din unitățile de învățământ preuniversitar de stat</w:t>
      </w:r>
      <w:r w:rsidRPr="005E5450">
        <w:rPr>
          <w:rFonts w:ascii="Times New Roman" w:eastAsia="Times New Roman" w:hAnsi="Times New Roman" w:cs="Times New Roman"/>
          <w:b/>
          <w:bCs/>
          <w:color w:val="000000" w:themeColor="text1"/>
          <w:sz w:val="24"/>
          <w:szCs w:val="24"/>
          <w:bdr w:val="none" w:sz="0" w:space="0" w:color="auto" w:frame="1"/>
          <w:shd w:val="clear" w:color="auto" w:fill="FFFFFF"/>
          <w:lang w:val="ro-RO"/>
        </w:rPr>
        <w:br/>
        <w:t>Sesiunea 2021</w:t>
      </w:r>
    </w:p>
    <w:p w14:paraId="15B7CD05" w14:textId="77777777" w:rsidR="005E5450" w:rsidRPr="005E5450" w:rsidRDefault="005E5450" w:rsidP="005E5450">
      <w:pPr>
        <w:spacing w:after="0" w:line="276" w:lineRule="auto"/>
        <w:ind w:left="72" w:right="72"/>
        <w:jc w:val="center"/>
        <w:rPr>
          <w:rFonts w:ascii="Times New Roman" w:eastAsia="Times New Roman" w:hAnsi="Times New Roman" w:cs="Times New Roman"/>
          <w:color w:val="000000" w:themeColor="text1"/>
          <w:sz w:val="24"/>
          <w:szCs w:val="24"/>
          <w:bdr w:val="none" w:sz="0" w:space="0" w:color="auto" w:frame="1"/>
          <w:shd w:val="clear" w:color="auto" w:fill="FFFFFF"/>
          <w:lang w:val="ro-RO"/>
        </w:rPr>
      </w:pPr>
    </w:p>
    <w:tbl>
      <w:tblPr>
        <w:tblW w:w="10057" w:type="dxa"/>
        <w:shd w:val="clear" w:color="auto" w:fill="FFFFFF"/>
        <w:tblCellMar>
          <w:left w:w="0" w:type="dxa"/>
          <w:right w:w="0" w:type="dxa"/>
        </w:tblCellMar>
        <w:tblLook w:val="04A0" w:firstRow="1" w:lastRow="0" w:firstColumn="1" w:lastColumn="0" w:noHBand="0" w:noVBand="1"/>
      </w:tblPr>
      <w:tblGrid>
        <w:gridCol w:w="7304"/>
        <w:gridCol w:w="2753"/>
      </w:tblGrid>
      <w:tr w:rsidR="005E5450" w:rsidRPr="005E5450" w14:paraId="379D7112"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2D60AC"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Bush, T. (2015), Leadership și management educațional. Teorii și practici actuale, Iași, Editura Polirom</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E29C92"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capitolele 1, 2, 3, 4, 8</w:t>
            </w:r>
          </w:p>
        </w:tc>
      </w:tr>
      <w:tr w:rsidR="005E5450" w:rsidRPr="005E5450" w14:paraId="7C9DA191"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0785D3"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2. </w:t>
            </w:r>
            <w:proofErr w:type="spellStart"/>
            <w:r w:rsidRPr="005E5450">
              <w:rPr>
                <w:rFonts w:ascii="Times New Roman" w:eastAsia="Times New Roman" w:hAnsi="Times New Roman" w:cs="Times New Roman"/>
                <w:color w:val="000000" w:themeColor="text1"/>
                <w:sz w:val="24"/>
                <w:szCs w:val="24"/>
                <w:lang w:val="ro-RO"/>
              </w:rPr>
              <w:t>Hattie</w:t>
            </w:r>
            <w:proofErr w:type="spellEnd"/>
            <w:r w:rsidRPr="005E5450">
              <w:rPr>
                <w:rFonts w:ascii="Times New Roman" w:eastAsia="Times New Roman" w:hAnsi="Times New Roman" w:cs="Times New Roman"/>
                <w:color w:val="000000" w:themeColor="text1"/>
                <w:sz w:val="24"/>
                <w:szCs w:val="24"/>
                <w:lang w:val="ro-RO"/>
              </w:rPr>
              <w:t>, J. (2014), Învățarea vizibilă, București, Editura Trei</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A5B1A9"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 capitolul 9 </w:t>
            </w:r>
          </w:p>
        </w:tc>
      </w:tr>
      <w:tr w:rsidR="005E5450" w:rsidRPr="005E5450" w14:paraId="1FB6D919"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4C3D93"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3. </w:t>
            </w:r>
            <w:proofErr w:type="spellStart"/>
            <w:r w:rsidRPr="005E5450">
              <w:rPr>
                <w:rFonts w:ascii="Times New Roman" w:eastAsia="Times New Roman" w:hAnsi="Times New Roman" w:cs="Times New Roman"/>
                <w:color w:val="000000" w:themeColor="text1"/>
                <w:sz w:val="24"/>
                <w:szCs w:val="24"/>
                <w:lang w:val="ro-RO"/>
              </w:rPr>
              <w:t>Senge</w:t>
            </w:r>
            <w:proofErr w:type="spellEnd"/>
            <w:r w:rsidRPr="005E5450">
              <w:rPr>
                <w:rFonts w:ascii="Times New Roman" w:eastAsia="Times New Roman" w:hAnsi="Times New Roman" w:cs="Times New Roman"/>
                <w:color w:val="000000" w:themeColor="text1"/>
                <w:sz w:val="24"/>
                <w:szCs w:val="24"/>
                <w:lang w:val="ro-RO"/>
              </w:rPr>
              <w:t>, P. (</w:t>
            </w:r>
            <w:proofErr w:type="spellStart"/>
            <w:r w:rsidRPr="005E5450">
              <w:rPr>
                <w:rFonts w:ascii="Times New Roman" w:eastAsia="Times New Roman" w:hAnsi="Times New Roman" w:cs="Times New Roman"/>
                <w:color w:val="000000" w:themeColor="text1"/>
                <w:sz w:val="24"/>
                <w:szCs w:val="24"/>
                <w:lang w:val="ro-RO"/>
              </w:rPr>
              <w:t>coord</w:t>
            </w:r>
            <w:proofErr w:type="spellEnd"/>
            <w:r w:rsidRPr="005E5450">
              <w:rPr>
                <w:rFonts w:ascii="Times New Roman" w:eastAsia="Times New Roman" w:hAnsi="Times New Roman" w:cs="Times New Roman"/>
                <w:color w:val="000000" w:themeColor="text1"/>
                <w:sz w:val="24"/>
                <w:szCs w:val="24"/>
                <w:lang w:val="ro-RO"/>
              </w:rPr>
              <w:t>) 2016, Școli care învață. A cincea disciplină aplicată în educație, București, Editura Trei</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5E2FAA7"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capitolele VIII.1, IX, XII, XIII.1</w:t>
            </w:r>
          </w:p>
        </w:tc>
      </w:tr>
      <w:tr w:rsidR="005E5450" w:rsidRPr="005E5450" w14:paraId="686C7458"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4B35472"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4. </w:t>
            </w:r>
            <w:hyperlink r:id="rId23" w:history="1">
              <w:r w:rsidRPr="005E5450">
                <w:rPr>
                  <w:rFonts w:ascii="Times New Roman" w:eastAsia="Times New Roman" w:hAnsi="Times New Roman" w:cs="Times New Roman"/>
                  <w:color w:val="000000" w:themeColor="text1"/>
                  <w:sz w:val="24"/>
                  <w:szCs w:val="24"/>
                  <w:u w:val="single"/>
                  <w:bdr w:val="none" w:sz="0" w:space="0" w:color="auto" w:frame="1"/>
                  <w:lang w:val="ro-RO"/>
                </w:rPr>
                <w:t>Legea educației naționale nr. 1/2011</w:t>
              </w:r>
            </w:hyperlink>
            <w:r w:rsidRPr="005E5450">
              <w:rPr>
                <w:rFonts w:ascii="Times New Roman" w:eastAsia="Times New Roman" w:hAnsi="Times New Roman" w:cs="Times New Roman"/>
                <w:color w:val="000000" w:themeColor="text1"/>
                <w:sz w:val="24"/>
                <w:szCs w:val="24"/>
                <w:lang w:val="ro-RO"/>
              </w:rPr>
              <w:t>, cu modificările și completările ulterioare, în vigoare la data înscrierii la concurs</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BB7461"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titlurile I, II, IV (capitolul I), VI, VII</w:t>
            </w:r>
          </w:p>
        </w:tc>
      </w:tr>
      <w:tr w:rsidR="005E5450" w:rsidRPr="005E5450" w14:paraId="36C92C4D"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3B83C45"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5. </w:t>
            </w:r>
            <w:hyperlink r:id="rId24" w:history="1">
              <w:r w:rsidRPr="005E5450">
                <w:rPr>
                  <w:rFonts w:ascii="Times New Roman" w:eastAsia="Times New Roman" w:hAnsi="Times New Roman" w:cs="Times New Roman"/>
                  <w:color w:val="000000" w:themeColor="text1"/>
                  <w:sz w:val="24"/>
                  <w:szCs w:val="24"/>
                  <w:u w:val="single"/>
                  <w:bdr w:val="none" w:sz="0" w:space="0" w:color="auto" w:frame="1"/>
                  <w:lang w:val="ro-RO"/>
                </w:rPr>
                <w:t>Statutul</w:t>
              </w:r>
            </w:hyperlink>
            <w:r w:rsidRPr="005E5450">
              <w:rPr>
                <w:rFonts w:ascii="Times New Roman" w:eastAsia="Times New Roman" w:hAnsi="Times New Roman" w:cs="Times New Roman"/>
                <w:color w:val="000000" w:themeColor="text1"/>
                <w:sz w:val="24"/>
                <w:szCs w:val="24"/>
                <w:lang w:val="ro-RO"/>
              </w:rPr>
              <w:t xml:space="preserve"> elevului, aprobat prin </w:t>
            </w:r>
            <w:hyperlink r:id="rId25" w:history="1">
              <w:r w:rsidRPr="005E5450">
                <w:rPr>
                  <w:rFonts w:ascii="Times New Roman" w:eastAsia="Times New Roman" w:hAnsi="Times New Roman" w:cs="Times New Roman"/>
                  <w:color w:val="000000" w:themeColor="text1"/>
                  <w:sz w:val="24"/>
                  <w:szCs w:val="24"/>
                  <w:u w:val="single"/>
                  <w:bdr w:val="none" w:sz="0" w:space="0" w:color="auto" w:frame="1"/>
                  <w:lang w:val="ro-RO"/>
                </w:rPr>
                <w:t>Ordinul ministrului educației naționale și cercetării științifice nr. 4.742/2016</w:t>
              </w:r>
            </w:hyperlink>
            <w:r w:rsidRPr="005E5450">
              <w:rPr>
                <w:rFonts w:ascii="Times New Roman" w:eastAsia="Times New Roman" w:hAnsi="Times New Roman" w:cs="Times New Roman"/>
                <w:color w:val="000000" w:themeColor="text1"/>
                <w:sz w:val="24"/>
                <w:szCs w:val="24"/>
                <w:lang w:val="ro-RO"/>
              </w:rPr>
              <w:t>, în vigoare la data înscrierii la concurs</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DECF6E9"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p>
        </w:tc>
      </w:tr>
      <w:tr w:rsidR="005E5450" w:rsidRPr="005E5450" w14:paraId="53D9A65D"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EB54FED"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6. </w:t>
            </w:r>
            <w:hyperlink r:id="rId26" w:history="1">
              <w:r w:rsidRPr="005E5450">
                <w:rPr>
                  <w:rFonts w:ascii="Times New Roman" w:eastAsia="Times New Roman" w:hAnsi="Times New Roman" w:cs="Times New Roman"/>
                  <w:color w:val="000000" w:themeColor="text1"/>
                  <w:sz w:val="24"/>
                  <w:szCs w:val="24"/>
                  <w:u w:val="single"/>
                  <w:bdr w:val="none" w:sz="0" w:space="0" w:color="auto" w:frame="1"/>
                  <w:lang w:val="ro-RO"/>
                </w:rPr>
                <w:t>Regulamentul-cadru</w:t>
              </w:r>
            </w:hyperlink>
            <w:r w:rsidRPr="005E5450">
              <w:rPr>
                <w:rFonts w:ascii="Times New Roman" w:eastAsia="Times New Roman" w:hAnsi="Times New Roman" w:cs="Times New Roman"/>
                <w:color w:val="000000" w:themeColor="text1"/>
                <w:sz w:val="24"/>
                <w:szCs w:val="24"/>
                <w:lang w:val="ro-RO"/>
              </w:rPr>
              <w:t xml:space="preserve"> de organizare și funcționare a unităților de învățământ preuniversitar, aprobat prin </w:t>
            </w:r>
            <w:hyperlink r:id="rId27" w:history="1">
              <w:r w:rsidRPr="005E5450">
                <w:rPr>
                  <w:rFonts w:ascii="Times New Roman" w:eastAsia="Times New Roman" w:hAnsi="Times New Roman" w:cs="Times New Roman"/>
                  <w:color w:val="000000" w:themeColor="text1"/>
                  <w:sz w:val="24"/>
                  <w:szCs w:val="24"/>
                  <w:u w:val="single"/>
                  <w:bdr w:val="none" w:sz="0" w:space="0" w:color="auto" w:frame="1"/>
                  <w:lang w:val="ro-RO"/>
                </w:rPr>
                <w:t>Ordinul ministrului educației și cercetării nr. 5.447/2020</w:t>
              </w:r>
            </w:hyperlink>
            <w:r w:rsidRPr="005E5450">
              <w:rPr>
                <w:rFonts w:ascii="Times New Roman" w:eastAsia="Times New Roman" w:hAnsi="Times New Roman" w:cs="Times New Roman"/>
                <w:color w:val="000000" w:themeColor="text1"/>
                <w:sz w:val="24"/>
                <w:szCs w:val="24"/>
                <w:lang w:val="ro-RO"/>
              </w:rPr>
              <w:t>, cu modificările și completările ulterioare, în vigoare la data înscrierii la concurs</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CC81BA6"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p>
        </w:tc>
      </w:tr>
      <w:tr w:rsidR="005E5450" w:rsidRPr="005E5450" w14:paraId="26996A4B" w14:textId="77777777" w:rsidTr="005E545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FD02FC0"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lang w:val="ro-RO"/>
              </w:rPr>
              <w:t xml:space="preserve">7. Repere pentru proiectarea și actualizarea curriculumului național, document aprobat prin </w:t>
            </w:r>
            <w:hyperlink r:id="rId28" w:history="1">
              <w:r w:rsidRPr="005E5450">
                <w:rPr>
                  <w:rFonts w:ascii="Times New Roman" w:eastAsia="Times New Roman" w:hAnsi="Times New Roman" w:cs="Times New Roman"/>
                  <w:color w:val="000000" w:themeColor="text1"/>
                  <w:sz w:val="24"/>
                  <w:szCs w:val="24"/>
                  <w:u w:val="single"/>
                  <w:bdr w:val="none" w:sz="0" w:space="0" w:color="auto" w:frame="1"/>
                  <w:lang w:val="ro-RO"/>
                </w:rPr>
                <w:t>Ordinul ministrului educației nr. 3.239/2021</w:t>
              </w:r>
            </w:hyperlink>
            <w:r w:rsidRPr="005E5450">
              <w:rPr>
                <w:rFonts w:ascii="Times New Roman" w:eastAsia="Times New Roman" w:hAnsi="Times New Roman" w:cs="Times New Roman"/>
                <w:color w:val="000000" w:themeColor="text1"/>
                <w:sz w:val="24"/>
                <w:szCs w:val="24"/>
                <w:lang w:val="ro-RO"/>
              </w:rPr>
              <w:t xml:space="preserve"> privind aprobarea </w:t>
            </w:r>
            <w:hyperlink r:id="rId29" w:history="1">
              <w:r w:rsidRPr="005E5450">
                <w:rPr>
                  <w:rFonts w:ascii="Times New Roman" w:eastAsia="Times New Roman" w:hAnsi="Times New Roman" w:cs="Times New Roman"/>
                  <w:color w:val="000000" w:themeColor="text1"/>
                  <w:sz w:val="24"/>
                  <w:szCs w:val="24"/>
                  <w:u w:val="single"/>
                  <w:bdr w:val="none" w:sz="0" w:space="0" w:color="auto" w:frame="1"/>
                  <w:lang w:val="ro-RO"/>
                </w:rPr>
                <w:t>documentului</w:t>
              </w:r>
            </w:hyperlink>
            <w:r w:rsidRPr="005E5450">
              <w:rPr>
                <w:rFonts w:ascii="Times New Roman" w:eastAsia="Times New Roman" w:hAnsi="Times New Roman" w:cs="Times New Roman"/>
                <w:color w:val="000000" w:themeColor="text1"/>
                <w:sz w:val="24"/>
                <w:szCs w:val="24"/>
                <w:lang w:val="ro-RO"/>
              </w:rPr>
              <w:t xml:space="preserve"> de politici educaționale Repere pentru proiectarea, actualizarea și evaluarea Curriculumului național. Cadrul de referință al Curriculumului național</w:t>
            </w:r>
          </w:p>
        </w:tc>
        <w:tc>
          <w:tcPr>
            <w:tcW w:w="275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C4BD27" w14:textId="77777777" w:rsidR="005E5450" w:rsidRPr="005E5450" w:rsidRDefault="005E5450" w:rsidP="005E5450">
            <w:pPr>
              <w:spacing w:after="0" w:line="276" w:lineRule="auto"/>
              <w:jc w:val="both"/>
              <w:rPr>
                <w:rFonts w:ascii="Times New Roman" w:eastAsia="Times New Roman" w:hAnsi="Times New Roman" w:cs="Times New Roman"/>
                <w:color w:val="000000" w:themeColor="text1"/>
                <w:sz w:val="24"/>
                <w:szCs w:val="24"/>
                <w:lang w:val="ro-RO"/>
              </w:rPr>
            </w:pPr>
            <w:r w:rsidRPr="005E5450">
              <w:rPr>
                <w:rFonts w:ascii="Times New Roman" w:eastAsia="Times New Roman" w:hAnsi="Times New Roman" w:cs="Times New Roman"/>
                <w:color w:val="000000" w:themeColor="text1"/>
                <w:sz w:val="24"/>
                <w:szCs w:val="24"/>
                <w:bdr w:val="none" w:sz="0" w:space="0" w:color="auto" w:frame="1"/>
                <w:lang w:val="ro-RO"/>
              </w:rPr>
              <w:t>• partea 1, capitolele 2, 4 • partea a 2-a, capitolele 6, 7, 10</w:t>
            </w:r>
          </w:p>
        </w:tc>
      </w:tr>
    </w:tbl>
    <w:p w14:paraId="69938EEF" w14:textId="77777777" w:rsidR="0075083B" w:rsidRPr="005E5450" w:rsidRDefault="0075083B" w:rsidP="005E5450">
      <w:pPr>
        <w:spacing w:after="0" w:line="276" w:lineRule="auto"/>
        <w:rPr>
          <w:rFonts w:ascii="Times New Roman" w:hAnsi="Times New Roman" w:cs="Times New Roman"/>
          <w:color w:val="000000" w:themeColor="text1"/>
          <w:sz w:val="24"/>
          <w:szCs w:val="24"/>
          <w:lang w:val="ro-RO"/>
        </w:rPr>
      </w:pPr>
    </w:p>
    <w:sectPr w:rsidR="0075083B" w:rsidRPr="005E5450" w:rsidSect="005E5450">
      <w:pgSz w:w="11906" w:h="16838"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50"/>
    <w:rsid w:val="005E5450"/>
    <w:rsid w:val="0075083B"/>
    <w:rsid w:val="0086406D"/>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F81E"/>
  <w15:chartTrackingRefBased/>
  <w15:docId w15:val="{46E23E3E-D202-43F7-8D85-B423DA24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810">
      <w:bodyDiv w:val="1"/>
      <w:marLeft w:val="0"/>
      <w:marRight w:val="0"/>
      <w:marTop w:val="0"/>
      <w:marBottom w:val="0"/>
      <w:divBdr>
        <w:top w:val="none" w:sz="0" w:space="0" w:color="auto"/>
        <w:left w:val="none" w:sz="0" w:space="0" w:color="auto"/>
        <w:bottom w:val="none" w:sz="0" w:space="0" w:color="auto"/>
        <w:right w:val="none" w:sz="0" w:space="0" w:color="auto"/>
      </w:divBdr>
    </w:div>
    <w:div w:id="1404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42661" TargetMode="External"/><Relationship Id="rId13" Type="http://schemas.openxmlformats.org/officeDocument/2006/relationships/hyperlink" Target="http://legislatie.just.ro/Public/DetaliiDocumentAfis/245258" TargetMode="External"/><Relationship Id="rId18" Type="http://schemas.openxmlformats.org/officeDocument/2006/relationships/hyperlink" Target="http://legislatie.just.ro/Public/DetaliiDocumentAfis/245258" TargetMode="External"/><Relationship Id="rId26" Type="http://schemas.openxmlformats.org/officeDocument/2006/relationships/hyperlink" Target="http://legislatie.just.ro/Public/DetaliiDocumentAfis/234994" TargetMode="External"/><Relationship Id="rId3" Type="http://schemas.openxmlformats.org/officeDocument/2006/relationships/webSettings" Target="webSettings.xml"/><Relationship Id="rId21" Type="http://schemas.openxmlformats.org/officeDocument/2006/relationships/hyperlink" Target="http://legislatie.just.ro/Public/DetaliiDocumentAfis/245250" TargetMode="External"/><Relationship Id="rId7" Type="http://schemas.openxmlformats.org/officeDocument/2006/relationships/hyperlink" Target="http://legislatie.just.ro/Public/DetaliiDocumentAfis/242661" TargetMode="External"/><Relationship Id="rId12" Type="http://schemas.openxmlformats.org/officeDocument/2006/relationships/hyperlink" Target="http://legislatie.just.ro/Public/DetaliiDocumentAfis/245250" TargetMode="External"/><Relationship Id="rId17" Type="http://schemas.openxmlformats.org/officeDocument/2006/relationships/hyperlink" Target="http://legislatie.just.ro/Public/DetaliiDocumentAfis/245258" TargetMode="External"/><Relationship Id="rId25" Type="http://schemas.openxmlformats.org/officeDocument/2006/relationships/hyperlink" Target="http://legislatie.just.ro/Public/DetaliiDocumentAfis/181088" TargetMode="External"/><Relationship Id="rId2" Type="http://schemas.openxmlformats.org/officeDocument/2006/relationships/settings" Target="settings.xml"/><Relationship Id="rId16" Type="http://schemas.openxmlformats.org/officeDocument/2006/relationships/hyperlink" Target="http://legislatie.just.ro/Public/DetaliiDocumentAfis/245258" TargetMode="External"/><Relationship Id="rId20" Type="http://schemas.openxmlformats.org/officeDocument/2006/relationships/hyperlink" Target="http://legislatie.just.ro/Public/DetaliiDocumentAfis/245258" TargetMode="External"/><Relationship Id="rId29" Type="http://schemas.openxmlformats.org/officeDocument/2006/relationships/hyperlink" Target="http://legislatie.just.ro/Public/DetaliiDocumentAfis/237529" TargetMode="External"/><Relationship Id="rId1" Type="http://schemas.openxmlformats.org/officeDocument/2006/relationships/styles" Target="styles.xml"/><Relationship Id="rId6" Type="http://schemas.openxmlformats.org/officeDocument/2006/relationships/hyperlink" Target="http://legislatie.just.ro/Public/DetaliiDocumentAfis/245258" TargetMode="External"/><Relationship Id="rId11" Type="http://schemas.openxmlformats.org/officeDocument/2006/relationships/hyperlink" Target="http://legislatie.just.ro/Public/DetaliiDocumentAfis/245258" TargetMode="External"/><Relationship Id="rId24" Type="http://schemas.openxmlformats.org/officeDocument/2006/relationships/hyperlink" Target="http://legislatie.just.ro/Public/DetaliiDocumentAfis/181089" TargetMode="External"/><Relationship Id="rId5" Type="http://schemas.openxmlformats.org/officeDocument/2006/relationships/hyperlink" Target="http://legislatie.just.ro/Public/DetaliiDocumentAfis/245250" TargetMode="External"/><Relationship Id="rId15" Type="http://schemas.openxmlformats.org/officeDocument/2006/relationships/hyperlink" Target="http://legislatie.just.ro/Public/DetaliiDocumentAfis/245258" TargetMode="External"/><Relationship Id="rId23" Type="http://schemas.openxmlformats.org/officeDocument/2006/relationships/hyperlink" Target="http://legislatie.just.ro/Public/DetaliiDocumentAfis/242661" TargetMode="External"/><Relationship Id="rId28" Type="http://schemas.openxmlformats.org/officeDocument/2006/relationships/hyperlink" Target="http://legislatie.just.ro/Public/DetaliiDocumentAfis/237422" TargetMode="External"/><Relationship Id="rId10" Type="http://schemas.openxmlformats.org/officeDocument/2006/relationships/hyperlink" Target="http://legislatie.just.ro/Public/DetaliiDocumentAfis/245531" TargetMode="External"/><Relationship Id="rId19" Type="http://schemas.openxmlformats.org/officeDocument/2006/relationships/hyperlink" Target="http://legislatie.just.ro/Public/DetaliiDocumentAfis/245258" TargetMode="External"/><Relationship Id="rId31" Type="http://schemas.openxmlformats.org/officeDocument/2006/relationships/theme" Target="theme/theme1.xml"/><Relationship Id="rId4" Type="http://schemas.openxmlformats.org/officeDocument/2006/relationships/hyperlink" Target="http://legislatie.just.ro/Public/DetaliiDocumentAfis/245258" TargetMode="External"/><Relationship Id="rId9" Type="http://schemas.openxmlformats.org/officeDocument/2006/relationships/hyperlink" Target="http://legislatie.just.ro/Public/DetaliiDocumentAfis/242661" TargetMode="External"/><Relationship Id="rId14" Type="http://schemas.openxmlformats.org/officeDocument/2006/relationships/hyperlink" Target="http://legislatie.just.ro/Public/DetaliiDocumentAfis/245258" TargetMode="External"/><Relationship Id="rId22" Type="http://schemas.openxmlformats.org/officeDocument/2006/relationships/hyperlink" Target="http://legislatie.just.ro/Public/DetaliiDocumentAfis/245250" TargetMode="External"/><Relationship Id="rId27" Type="http://schemas.openxmlformats.org/officeDocument/2006/relationships/hyperlink" Target="http://legislatie.just.ro/Public/DetaliiDocumentAfis/23499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Nemes</dc:creator>
  <cp:keywords/>
  <dc:description/>
  <cp:lastModifiedBy>Iuliana Nemes</cp:lastModifiedBy>
  <cp:revision>2</cp:revision>
  <dcterms:created xsi:type="dcterms:W3CDTF">2021-09-13T07:53:00Z</dcterms:created>
  <dcterms:modified xsi:type="dcterms:W3CDTF">2021-09-13T08:26:00Z</dcterms:modified>
</cp:coreProperties>
</file>