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E53CCC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D33A367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FC6415">
        <w:rPr>
          <w:rFonts w:ascii="Times New Roman" w:hAnsi="Times New Roman"/>
          <w:b/>
          <w:szCs w:val="24"/>
          <w:lang w:val="ro-RO"/>
        </w:rPr>
        <w:t>PETŐFI SÁNDOR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FC6415">
        <w:rPr>
          <w:rFonts w:ascii="Times New Roman" w:hAnsi="Times New Roman"/>
          <w:b/>
          <w:szCs w:val="24"/>
          <w:lang w:val="ro-RO"/>
        </w:rPr>
        <w:t>TG. SECUIESC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E53CCC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E53CC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E53CC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E53CCC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E53CCC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E53CCC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E53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E53CC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2022-05-30T18:51:00Z</dcterms:created>
  <dcterms:modified xsi:type="dcterms:W3CDTF">2022-05-30T18:52:00Z</dcterms:modified>
</cp:coreProperties>
</file>